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pBdr>
          <w:left w:color="000000" w:space="0" w:sz="0" w:val="none"/>
          <w:bottom w:color="000000" w:space="0" w:sz="0" w:val="none"/>
          <w:right w:color="000000" w:space="0" w:sz="0" w:val="none"/>
        </w:pBdr>
        <w:spacing w:before="120" w:lineRule="auto"/>
        <w:ind w:left="-142" w:right="1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784860" cy="1013460"/>
            <wp:effectExtent b="0" l="0" r="0" t="0"/>
            <wp:docPr descr="BEAR" id="1" name="image1.png"/>
            <a:graphic>
              <a:graphicData uri="http://schemas.openxmlformats.org/drawingml/2006/picture">
                <pic:pic>
                  <pic:nvPicPr>
                    <pic:cNvPr descr="BEA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013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Style w:val="Heading3"/>
        <w:pBdr>
          <w:left w:color="000000" w:space="0" w:sz="0" w:val="none"/>
          <w:bottom w:color="000000" w:space="0" w:sz="0" w:val="none"/>
          <w:right w:color="000000" w:space="0" w:sz="0" w:val="none"/>
        </w:pBdr>
        <w:spacing w:before="120" w:lineRule="auto"/>
        <w:ind w:left="-142" w:right="140" w:firstLine="0"/>
        <w:rPr/>
      </w:pPr>
      <w:r w:rsidDel="00000000" w:rsidR="00000000" w:rsidRPr="00000000">
        <w:rPr>
          <w:sz w:val="32"/>
          <w:szCs w:val="32"/>
          <w:rtl w:val="0"/>
        </w:rPr>
        <w:t xml:space="preserve">Российская Федерация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pBdr>
          <w:left w:color="000000" w:space="0" w:sz="0" w:val="none"/>
          <w:bottom w:color="000000" w:space="0" w:sz="0" w:val="none"/>
          <w:right w:color="000000" w:space="0" w:sz="0" w:val="none"/>
        </w:pBdr>
        <w:spacing w:before="120" w:lineRule="auto"/>
        <w:ind w:left="-142" w:right="14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Республика Карелия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left w:color="000000" w:space="0" w:sz="0" w:val="none"/>
          <w:bottom w:color="000000" w:space="0" w:sz="0" w:val="none"/>
          <w:right w:color="000000" w:space="0" w:sz="0" w:val="none"/>
        </w:pBdr>
        <w:spacing w:before="360" w:lineRule="auto"/>
        <w:ind w:left="-142" w:right="140" w:firstLine="0"/>
        <w:rPr>
          <w:b w:val="0"/>
          <w:sz w:val="44"/>
          <w:szCs w:val="44"/>
        </w:rPr>
      </w:pPr>
      <w:r w:rsidDel="00000000" w:rsidR="00000000" w:rsidRPr="00000000">
        <w:rPr>
          <w:b w:val="0"/>
          <w:sz w:val="44"/>
          <w:szCs w:val="44"/>
          <w:rtl w:val="0"/>
        </w:rPr>
        <w:t xml:space="preserve">РАСПОРЯЖЕНИЕ</w:t>
      </w:r>
    </w:p>
    <w:p w:rsidR="00000000" w:rsidDel="00000000" w:rsidP="00000000" w:rsidRDefault="00000000" w:rsidRPr="00000000" w14:paraId="00000005">
      <w:pPr>
        <w:pStyle w:val="Heading2"/>
        <w:pBdr>
          <w:left w:color="000000" w:space="0" w:sz="0" w:val="none"/>
          <w:bottom w:color="000000" w:space="0" w:sz="0" w:val="none"/>
          <w:right w:color="000000" w:space="0" w:sz="0" w:val="none"/>
        </w:pBdr>
        <w:spacing w:before="240" w:lineRule="auto"/>
        <w:ind w:left="-142" w:right="140" w:firstLine="0"/>
        <w:rPr/>
      </w:pPr>
      <w:r w:rsidDel="00000000" w:rsidR="00000000" w:rsidRPr="00000000">
        <w:rPr>
          <w:rtl w:val="0"/>
        </w:rPr>
        <w:t xml:space="preserve">ГЛАВЫ РЕСПУБЛИКИ КАРЕЛИЯ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4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Внести в распоряжение Главы Республики Карелия от 12 марта 2020 года № 127-р (Собрание законодательства Республики Карелия, 2020, № 3, ст. 453, 457, 459, 460, 463, 469, 471,  472, 474, 475, 476, 478; № 4, ст. 725, 729, 730, 733, 736, 739, 741, 743,  744, 747, 748, 752; № 5, ст. 1016, 1017, 1018, 1019, 1021, 1022, 1023, 1026, 1027, 1028,  1030, 1032, 1034, 1035, 1039, 1042; № 6, ст. 1306, 1307, 1310, 1311,  1314,  1318, 1319, 1321, 1322,  1327; № 7, ст. 1630, 1634,  1635, 1639, 1651; № 8, ст. 1832, 1833, 1837, 1840, 1843, 1846; № 9, ст. 2106, 2112, 2114; № 10, ст. 2413, 2416, 2418, 2419, 2422; № 11, ст. 2680, 2681, 2685, 2687, 2689, 2690, 2692, 2693, 2694, 2695, 2696, 2698, 2701; Официальный интернет-портал правовой информации (www.pravo.gov.ru), 4 декабря 2020 года, № 1000202012040001; 7 декабря 2020 года, № 1000202012070006; 15 декабря 2020 года, № 1000202012150002, 1000202012150001; 16 декабря 2020 года, № 1000202012160002; 18 декабря 2020 года, № 1000202012180005, 1000202012180008; 28 декабря 2020 года, № 1000202012280009, 1000202012280002; 30 декабря 2020 года, № 1000202012300007; 31 декабря 2020 года, № 1000202012310003; 11 января 2021 года, № 1000202101110001; 15 января 2021 года, № 1000202101150001; </w:t>
        <w:br w:type="textWrapping"/>
        <w:t xml:space="preserve">19 января 2021 года, № 1000202101190003; 20 января 2021 года, </w:t>
        <w:br w:type="textWrapping"/>
        <w:t xml:space="preserve">№ 1000202101200001; 22 января 2021 года, №  1000202101220003; </w:t>
        <w:br w:type="textWrapping"/>
        <w:t xml:space="preserve">29 января 2021 года, № 1000202101290007; 3 февраля 2021 года, </w:t>
        <w:br w:type="textWrapping"/>
        <w:t xml:space="preserve">№ 1000202102030001; 8 февраля 2021 года, № 1000202102080001; </w:t>
        <w:br w:type="textWrapping"/>
        <w:t xml:space="preserve">15 февраля 2021 года, № 1000202102150001; 19 февраля 2021 года, </w:t>
        <w:br w:type="textWrapping"/>
        <w:t xml:space="preserve">№ 1000202102190001; 20 февраля 2021 года, № 1000202102200008; 1 марта 2021 года, № 1000202103010001; 3 марта 2021 года, № 1000202103030001; </w:t>
        <w:br w:type="textWrapping"/>
        <w:t xml:space="preserve">5 марта 2021 года, № 1000202103050002; 16 марта 2021 года, № 1000202103160001; 23 марта 2021 года, № 1000202103230006; 25 марта 2021 года, № 1000202103250005; 2 апреля 2021 года, № 1000202104020002; 21 апреля 2021 года, № 1000202104210006; 11 мая 2021 года, </w:t>
        <w:br w:type="textWrapping"/>
        <w:t xml:space="preserve">№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1000202105110001; </w:t>
      </w:r>
      <w:r w:rsidDel="00000000" w:rsidR="00000000" w:rsidRPr="00000000">
        <w:rPr>
          <w:sz w:val="28"/>
          <w:szCs w:val="28"/>
          <w:rtl w:val="0"/>
        </w:rPr>
        <w:t xml:space="preserve">20 мая 2021 года, № 1000202105200006; 21 мая 2021 года, №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1000202105210001; 15 июня 2021 года, № 1000202106150001; </w:t>
        <w:br w:type="textWrapping"/>
        <w:t xml:space="preserve">16 июня 2021 года, № 1000202106160001; 18 июня 2021 года, № 1000202106180002; 24 июня 2021 года, № 1000202106240001; 28 июня 2021 года, № 1000202106280001; 2 июля 2021 года, № 1000202107020001; </w:t>
        <w:br w:type="textWrapping"/>
        <w:t xml:space="preserve">8 июля 2021 года, № 1000202107080003; 6 августа 2021 года, </w:t>
        <w:br w:type="textWrapping"/>
        <w:t xml:space="preserve">№ 1000202108060001; 19 августа 2021 года, № 1000202108190002; </w:t>
        <w:br w:type="textWrapping"/>
        <w:t xml:space="preserve">2 сентября 2021 года, № 1000202109020003; 10 сентября 2021 года, № 1000202109100001</w:t>
      </w:r>
      <w:r w:rsidDel="00000000" w:rsidR="00000000" w:rsidRPr="00000000">
        <w:rPr>
          <w:sz w:val="28"/>
          <w:szCs w:val="28"/>
          <w:rtl w:val="0"/>
        </w:rPr>
        <w:t xml:space="preserve">) следующие изменения: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 6 дополнить подпунктами 10, 11 следующего содержания: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«10) осуществлять с 1 ноября 2021 года оказание плановой медицинской помощи гражданам при предъявлении персонального QR-кода, полученного с использованием федеральной государственной информационной системы «Единый портал государственных и муниципальных услуг (функций)» (gosuslugi.ru), подтверждающего прохождение вакцинации против коронавирусной инфекции (COVID-19) или факт перенесения в течение последних шести месяцев указанного заболевания (далее – QR-код), справки о прохождении вакцинации, справки об отрицательном анализе на коронавирусную инфекцию (ПЦР-тест), полученной не ранее чем за 3 дня до обращения за плановой медицинской помощью, справки о перенесенном заболевании коронавирусной инфекцией (COVID-19), если со дня выздоровления прошло не более 6 (шести) календарных месяцев;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11) организовать совместно с Министерством образования и спорта Республики Карелия и ФГБОУ ВО «Петрозаводский государственный университет» привлечение студентов медицинского факультета и волонтеров к реализации мероприятий по борьбе с новой коронавирусной инфекцией (COVID-19) в учреждениях здравоохранения Республики Карелия.»;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пункте 8.6: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первом: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цифры «60» заменить цифрами «80»;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слов «прошли вакцинацию» дополнить словом </w:t>
        <w:br w:type="textWrapping"/>
        <w:t xml:space="preserve">«, ревакцинацию»;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третьем после слов «однокомпонентной вакциной» дополнить словом «, ревакцинированных»;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16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дополнить абзацем следующего содержания: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«Обязать работодателей, получивших паспорт коллективного иммунитета, поддерживать состояние коллективного иммунитета путем организации проведения ревакцинации против коронавирусной инфекции (COVID-19) лиц, у которых срок от момента первичной вакцинации или перенесенного заболевания составил более шести месяцев.»;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абзац первый пункта 10 изложить в следующей редакции: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«10. Разрешить с 15 октября 2021 года проведение на территории Республики Карелия спортивных, зрелищных, публичных и иных массовых мероприятий, в том числе торжественных и траурных, в помещениях  с численностью 50 человек и более, на открытом воздухе  с численностью 100 человек и более при предъявлении QR-кода, справки о прохождении вакцинации, справки об отрицательном анализе на коронавирусную инфекцию (ПЦР-тест), полученной не ранее чем за 3 дня до проведения мероприятия, справки о перенесенном заболевании коронавирусной инфекцией (COVID-19), если со дня выздоровления прошло не более 6 (шести) календарных месяцев. Разрешить с 15 октября 2021 года проведение всероссийских соревнований, проведение региональных и межмуниципальных спортивных и физкультурных мероприятий, проведение мероприятий, обязательность которых предусмотрена законодательством Российской Федерации, проведение ярмарок по продаже товаров (выполнению работ, оказанию услуг), проводимых на открытом воздухе, при предъявлении QR-кода, справки о прохождении вакцинации, справки об отрицательном анализе на коронавирусную инфекцию (ПЦР-тест), полученной не ранее чем за 3 дня до мероприятия, справки о перенесенном заболевании коронавирусной инфекцией (COVID-19), если со дня выздоровления прошло не более 6 (шести) календарных месяцев. При проведении мероприятий обеспечить соблюдение социального дистанцирования и  использование средств индивидуальной защиты (масок). Демонстрация кинофильмов, проведение театрально-концертных мероприятий, проведение спортивных и физкультурных мероприятий осуществляется с учетом требований, установленных настоящим распоряжением, к организациям и индивидуальным предпринимателям при осуществлении ими разрешенной настоящим распоряжением деятельности. Приостановить до 25 октября 2021 года проведение спортивных, зрелищных, публичных и иных массовых мероприятий на территории Медвежьегорского, Лоухского, Муезерского муниципальных районов, Калевальского национального района, Костомукшского городского округа.»;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 11 дополнить абзацем следующего содержания: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 проводить личные приемы граждан.»;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первом подпункта 8 пункта 11.9 слова «документов, подтверждающих прохождение вакцинации от новой коронавирусной инфекции (COVID-19), либо» заменить словами «QR-кода, справки о прохождении вакцинации либо документов,»;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пункте 11.10: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абзац одиннадцатый подпункта 1 дополнить словами «, обеспечить вход и нахождение в торговом центре (комплексе) посетителей (потребителей) в возрасте до 14 лет включительно только в сопровождении взрослых.»;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подпункте 2: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четвертом после слов «вход и нахождение посетителей» дополнить словами «с 15 октября 2021 года при предъявлении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месяцев,»;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дополнить абзацем следующего содержания: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 15 октября 2021 года организациям (индивидуальным предпринимателям), не имеющим паспортов коллективного иммунитета, осуществляющим деятельность по предоставлению продуктов питания и напитков на территории Республики Карелия, запретить ее осуществление с 01:00 до 06:00 часов местного времени, за исключением осуществления такой деятельности в объектах дорожного сервиса, расположенных за пределами населенных пунктов и предназначенных для обслуживания участников дорожного движения по пути следования по автомобильным дорогам федерального, регионального значения, на железнодорожных вокзалах (железнодорожных станциях), автовокзалах (автостанциях), в аэропорту «Петрозаводск», в помещениях работающих в указанное время предприятий (организаций) исключительно в отношении работников данных предприятий (организаций). Организациям (индивидуальным предпринимателям), имеющим паспорта коллективного иммунитета, осуществляющим деятельность по предоставлению продуктов питания и напитков на территории Республики Карелия, разрешить ее осуществление с 01:00 до 06:00 часов местного времени дистанционным способом, в том числе с условием доставки. Данный запрет не распространяется на объекты общественного питания, расположенные в коллективных средствах размещения (гостиницы, хостелы, мотели, отели, туристские базы и иные аналогичные объекты) на территории Республики Карелия;»;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пункте 11.24: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третьем подпункта 1 после слов «выбора изданий осуществляется» дополнить словами «при предъявлении с 15 октября 2021 года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месяцев,»;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первом подпункта 2 после слов «осуществлять при условии» дополнить словами «предъявления с 15 октября 2021 года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месяцев,»;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втором подпункта 3 после слов «осуществляться при условиях» дополнить словами «предъявления с 15 октября 2021 года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месяцев,»;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первом подпункта 4 после слов «в части предоставления услуг осуществлять» дополнить словами «при предъявлении с 15 октября 2021 года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месяцев,»;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абзаце втором подпункта 5 после слов «осуществляться при условиях» дополнить словами «предъявления с 15 октября 2021 года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месяцев,»;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подпункт 1 пункта 11.27 дополнить абзацем следующего содержания: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«Вход и нахождение посетителей фитнес-центров и плавательных бассейнов осуществляется при предъявлении с 15 октября 2021 года QR-кода, справки о прохождении вакцинации, справки об отрицательном анализе на коронавирусную инфекцию (ПЦР-тест), полученной не ранее чем за 3 дня, справки о перенесенном заболевании коронавирусной инфекцией (COVID-19), если со дня выздоровления прошло не более 6 (шести) календарных месяцев.»;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9) пункт 11.30 изложить в следующей редакции: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«11.30. До 25 октября 2021 года приостановить посещение организаций социального обслуживания Республики Карелия, предоставляющих гражданам услуги в стационарной форме.».</w:t>
      </w:r>
    </w:p>
    <w:p w:rsidR="00000000" w:rsidDel="00000000" w:rsidP="00000000" w:rsidRDefault="00000000" w:rsidRPr="00000000" w14:paraId="00000027">
      <w:pPr>
        <w:ind w:firstLine="6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Настоящее распоряжение вступает в силу со дня его подписания, за исключением подпункта 3 пункта 1, который вступает в силу с 15 октября 2021 года.</w:t>
      </w:r>
    </w:p>
    <w:p w:rsidR="00000000" w:rsidDel="00000000" w:rsidP="00000000" w:rsidRDefault="00000000" w:rsidRPr="00000000" w14:paraId="0000002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14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Исполняющий обязанности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Главы Республики Карелия                                                          А.Е. Чепик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г. Петрозаводск    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  октября  2021 года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№ 622-р</w:t>
      </w:r>
    </w:p>
    <w:p w:rsidR="00000000" w:rsidDel="00000000" w:rsidP="00000000" w:rsidRDefault="00000000" w:rsidRPr="00000000" w14:paraId="00000032">
      <w:pPr>
        <w:ind w:left="-14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left:0;text-align:left;margin-left:288.0pt;margin-top:-6.15pt;width:181.6pt;height:30.65pt;z-index:251657728;mso-position-horizontal:absolute;mso-position-vertical:absolute;mso-position-horizontal-relative:margin;mso-position-vertical-relative:text;" stroked="f" type="#_x0000_t202">
            <v:textbox style="mso-next-textbox:#_x0000_s1026">
              <w:txbxContent>
                <w:p w:rsidR="00182C93" w:rsidDel="00000000" w:rsidP="00591051" w:rsidRDefault="00182C93" w:rsidRPr="0000000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00000" w:rsidDel="00000000" w:rsidP="00000000" w:rsidRDefault="00000000" w:rsidRPr="00000000" w14:paraId="00000033">
      <w:pPr>
        <w:widowControl w:val="0"/>
        <w:ind w:firstLine="567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ind w:right="140" w:firstLine="56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35">
      <w:pPr>
        <w:pStyle w:val="Heading3"/>
        <w:pBdr>
          <w:left w:color="000000" w:space="0" w:sz="0" w:val="none"/>
          <w:bottom w:color="000000" w:space="0" w:sz="0" w:val="none"/>
          <w:right w:color="000000" w:space="0" w:sz="0" w:val="none"/>
        </w:pBdr>
        <w:spacing w:before="120" w:lineRule="auto"/>
        <w:ind w:left="-142" w:right="140" w:firstLine="0"/>
        <w:rPr/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1134" w:left="1701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left w:color="000000" w:space="4" w:sz="4" w:val="dashed"/>
        <w:bottom w:color="000000" w:space="1" w:sz="4" w:val="dashed"/>
        <w:right w:color="000000" w:space="4" w:sz="4" w:val="dashed"/>
      </w:pBdr>
      <w:jc w:val="center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pBdr>
        <w:left w:color="000000" w:space="4" w:sz="4" w:val="dashed"/>
        <w:bottom w:color="000000" w:space="1" w:sz="4" w:val="dashed"/>
        <w:right w:color="000000" w:space="4" w:sz="4" w:val="dashed"/>
      </w:pBd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pBdr>
        <w:left w:color="000000" w:space="4" w:sz="4" w:val="dashed"/>
        <w:bottom w:color="000000" w:space="1" w:sz="4" w:val="dashed"/>
        <w:right w:color="000000" w:space="4" w:sz="4" w:val="dashed"/>
      </w:pBdr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left w:color="000000" w:space="4" w:sz="4" w:val="dashed"/>
        <w:bottom w:color="000000" w:space="1" w:sz="4" w:val="dashed"/>
        <w:right w:color="000000" w:space="4" w:sz="4" w:val="dashed"/>
      </w:pBdr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3600" w:hanging="360"/>
    </w:pPr>
    <w:rPr>
      <w:sz w:val="20"/>
      <w:szCs w:val="20"/>
    </w:rPr>
  </w:style>
  <w:style w:type="paragraph" w:styleId="Heading6">
    <w:name w:val="heading 6"/>
    <w:basedOn w:val="Normal"/>
    <w:next w:val="Normal"/>
    <w:pPr>
      <w:keepNext w:val="1"/>
      <w:ind w:left="4320" w:hanging="180"/>
    </w:pPr>
    <w:rPr>
      <w:sz w:val="32"/>
      <w:szCs w:val="32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